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80" w:type="dxa"/>
        <w:tblInd w:w="-3312" w:type="dxa"/>
        <w:tblBorders>
          <w:top w:val="none" w:sz="0" w:space="0" w:color="auto"/>
          <w:bottom w:val="none" w:sz="0" w:space="0" w:color="auto"/>
          <w:insideH w:val="none" w:sz="0" w:space="0" w:color="auto"/>
        </w:tblBorders>
        <w:tblCellMar>
          <w:top w:w="0" w:type="dxa"/>
          <w:bottom w:w="0" w:type="dxa"/>
        </w:tblCellMar>
        <w:tblLook w:val="0600" w:firstRow="0" w:lastRow="0" w:firstColumn="0" w:lastColumn="0" w:noHBand="1" w:noVBand="1"/>
      </w:tblPr>
      <w:tblGrid>
        <w:gridCol w:w="10080"/>
      </w:tblGrid>
      <w:tr w:rsidR="00125348" w14:paraId="30918E88" w14:textId="77777777" w:rsidTr="0012206F">
        <w:trPr>
          <w:trHeight w:val="1800"/>
        </w:trPr>
        <w:tc>
          <w:tcPr>
            <w:tcW w:w="10080" w:type="dxa"/>
          </w:tcPr>
          <w:p w14:paraId="37FEA7E4" w14:textId="3AFF2683" w:rsidR="00125348" w:rsidRPr="00365E93" w:rsidRDefault="00475859" w:rsidP="007926A6">
            <w:pPr>
              <w:pStyle w:val="ExecutiveName"/>
            </w:pPr>
            <w:r>
              <w:t>John Moon</w:t>
            </w:r>
          </w:p>
          <w:p w14:paraId="3F7BB18A" w14:textId="77777777" w:rsidR="00125348" w:rsidRDefault="00125348" w:rsidP="007926A6"/>
          <w:p w14:paraId="5033594D" w14:textId="77777777" w:rsidR="00475859" w:rsidRDefault="00475859" w:rsidP="00475859">
            <w:r>
              <w:t xml:space="preserve">Senior Vice President </w:t>
            </w:r>
          </w:p>
          <w:p w14:paraId="08FE0064" w14:textId="3B6C5EC3" w:rsidR="00475859" w:rsidRDefault="00D7257A" w:rsidP="00475859">
            <w:r>
              <w:t>Sustainability Philanthropy Leader</w:t>
            </w:r>
          </w:p>
          <w:p w14:paraId="0AFA37DE" w14:textId="469DCF87" w:rsidR="008F3391" w:rsidRDefault="008F3391" w:rsidP="00475859">
            <w:r>
              <w:t>Institute for Sustainable Finance</w:t>
            </w:r>
          </w:p>
          <w:p w14:paraId="553A1702" w14:textId="77777777" w:rsidR="00125348" w:rsidRDefault="00125348" w:rsidP="00B421A9">
            <w:r>
              <w:t>Wells Fargo &amp; Company</w:t>
            </w:r>
          </w:p>
        </w:tc>
      </w:tr>
    </w:tbl>
    <w:p w14:paraId="5B15B2F9" w14:textId="5F5180C0" w:rsidR="00497B0C" w:rsidRDefault="008F3391" w:rsidP="00131CF1">
      <w:r>
        <w:rPr>
          <w:noProof/>
        </w:rPr>
        <w:drawing>
          <wp:anchor distT="0" distB="0" distL="0" distR="0" simplePos="0" relativeHeight="251660288" behindDoc="0" locked="0" layoutInCell="1" allowOverlap="1" wp14:anchorId="7DE09B0E" wp14:editId="780E0027">
            <wp:simplePos x="0" y="0"/>
            <wp:positionH relativeFrom="page">
              <wp:posOffset>688340</wp:posOffset>
            </wp:positionH>
            <wp:positionV relativeFrom="paragraph">
              <wp:posOffset>236177</wp:posOffset>
            </wp:positionV>
            <wp:extent cx="1828800" cy="14620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1828800" cy="1462020"/>
                    </a:xfrm>
                    <a:prstGeom prst="rect">
                      <a:avLst/>
                    </a:prstGeom>
                  </pic:spPr>
                </pic:pic>
              </a:graphicData>
            </a:graphic>
            <wp14:sizeRelV relativeFrom="margin">
              <wp14:pctHeight>0</wp14:pctHeight>
            </wp14:sizeRelV>
          </wp:anchor>
        </w:drawing>
      </w:r>
    </w:p>
    <w:p w14:paraId="54932DB4" w14:textId="3D7D90D0" w:rsidR="00475859" w:rsidRDefault="00475859" w:rsidP="00475859">
      <w:r w:rsidRPr="00475859">
        <w:t xml:space="preserve"> </w:t>
      </w:r>
      <w:r>
        <w:t xml:space="preserve">John Moon is Senior Vice President </w:t>
      </w:r>
      <w:r w:rsidR="00D7257A">
        <w:t>Sustainability Philanthropy Leader</w:t>
      </w:r>
      <w:r>
        <w:t xml:space="preserve"> at Wells Fargo where he leads grant-making to scale sustainable finance toward an equitable climate transition. He has extensive public and private sector experience, focused on the intersection of racial equity, investments, climate, and health including work at the Federal Reserve, Living Cities, Municipal Government, and </w:t>
      </w:r>
      <w:proofErr w:type="spellStart"/>
      <w:r>
        <w:t>Fleetbank</w:t>
      </w:r>
      <w:proofErr w:type="spellEnd"/>
      <w:r>
        <w:t xml:space="preserve">. A core focus has been how the built environment/communities are key levers to produce transformative change that improves economic mobility, resilience, and reduced inequality. </w:t>
      </w:r>
    </w:p>
    <w:p w14:paraId="03AC905C" w14:textId="77777777" w:rsidR="00475859" w:rsidRDefault="00475859" w:rsidP="00475859"/>
    <w:p w14:paraId="31B202CB" w14:textId="2D4D25B6" w:rsidR="00475859" w:rsidRDefault="00475859" w:rsidP="00475859">
      <w:pPr>
        <w:rPr>
          <w:rFonts w:cs="Calibri"/>
        </w:rPr>
      </w:pPr>
      <w:r>
        <w:t xml:space="preserve">John has helped to lead national cross-sector initiatives in partnership with philanthropy, social impact investors, community-based organizations, and government to tackle complex social challenges holistically with a wide range of stakeholders and sectors. He also serves on </w:t>
      </w:r>
      <w:proofErr w:type="gramStart"/>
      <w:r>
        <w:t>a number of</w:t>
      </w:r>
      <w:proofErr w:type="gramEnd"/>
      <w:r>
        <w:t xml:space="preserve"> regional and national advisory groups. John graduated from UCLA and Harvard University’s Kennedy School of Government.</w:t>
      </w:r>
    </w:p>
    <w:p w14:paraId="6A7FE3CE" w14:textId="1521E9A2" w:rsidR="006F68A5" w:rsidRDefault="006F68A5" w:rsidP="006F68A5"/>
    <w:sectPr w:rsidR="006F68A5" w:rsidSect="00F85773">
      <w:headerReference w:type="default" r:id="rId8"/>
      <w:headerReference w:type="first" r:id="rId9"/>
      <w:footerReference w:type="first" r:id="rId10"/>
      <w:pgSz w:w="12240" w:h="15840"/>
      <w:pgMar w:top="1987" w:right="1080" w:bottom="1440" w:left="4392"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AC6BF" w14:textId="77777777" w:rsidR="00AE37E2" w:rsidRDefault="00AE37E2" w:rsidP="004B2586">
      <w:pPr>
        <w:spacing w:line="240" w:lineRule="auto"/>
      </w:pPr>
      <w:r>
        <w:separator/>
      </w:r>
    </w:p>
  </w:endnote>
  <w:endnote w:type="continuationSeparator" w:id="0">
    <w:p w14:paraId="610BF5E7" w14:textId="77777777" w:rsidR="00AE37E2" w:rsidRDefault="00AE37E2" w:rsidP="004B25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lls Fargo Sans">
    <w:charset w:val="00"/>
    <w:family w:val="swiss"/>
    <w:pitch w:val="variable"/>
    <w:sig w:usb0="A000006F" w:usb1="4000004B" w:usb2="00000000" w:usb3="00000000" w:csb0="00000013" w:csb1="00000000"/>
    <w:embedRegular r:id="rId1" w:fontKey="{5BFBC5FF-D3EE-450D-8227-FD406D7BDC2C}"/>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panose1 w:val="00000000000000000000"/>
    <w:charset w:val="00"/>
    <w:family w:val="roman"/>
    <w:notTrueType/>
    <w:pitch w:val="variable"/>
    <w:sig w:usb0="E0002AFF" w:usb1="C0007841" w:usb2="00000009" w:usb3="00000000" w:csb0="000001FF" w:csb1="00000000"/>
  </w:font>
  <w:font w:name="Wells Fargo Sans Condensed">
    <w:charset w:val="00"/>
    <w:family w:val="swiss"/>
    <w:pitch w:val="variable"/>
    <w:sig w:usb0="A000006F" w:usb1="4000004B" w:usb2="00000000" w:usb3="00000000" w:csb0="00000013" w:csb1="00000000"/>
    <w:embedRegular r:id="rId2" w:fontKey="{5B71E168-162C-4F6E-9DDA-DE8646FDC5BE}"/>
  </w:font>
  <w:font w:name="Wells Fargo Sans Light">
    <w:charset w:val="00"/>
    <w:family w:val="swiss"/>
    <w:pitch w:val="variable"/>
    <w:sig w:usb0="A000006F" w:usb1="4000004B" w:usb2="00000000" w:usb3="00000000" w:csb0="00000013" w:csb1="00000000"/>
    <w:embedRegular r:id="rId3" w:fontKey="{A1348C7E-97EC-4835-A710-ECA5F9C19F29}"/>
  </w:font>
  <w:font w:name="Calibri">
    <w:panose1 w:val="020F0502020204030204"/>
    <w:charset w:val="00"/>
    <w:family w:val="swiss"/>
    <w:pitch w:val="variable"/>
    <w:sig w:usb0="E4002EFF" w:usb1="C200247B" w:usb2="00000009" w:usb3="00000000" w:csb0="000001FF" w:csb1="00000000"/>
    <w:embedRegular r:id="rId4" w:fontKey="{66A5C459-5F09-4FC4-AEF7-D1223F0B142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99DE" w14:textId="7F044E1E" w:rsidR="00DA7C6B" w:rsidRDefault="00644430" w:rsidP="0016704B">
    <w:pPr>
      <w:pStyle w:val="Footer"/>
    </w:pPr>
    <w:r w:rsidRPr="0016704B">
      <w:t>© 20</w:t>
    </w:r>
    <w:r w:rsidR="00475859">
      <w:t>22</w:t>
    </w:r>
    <w:r w:rsidRPr="0016704B">
      <w:t xml:space="preserve"> Wells Fargo Bank, N.A. All rights reserved. Member FDIC.</w:t>
    </w:r>
  </w:p>
  <w:p w14:paraId="60BFBA4E" w14:textId="77777777" w:rsidR="00C35ED1" w:rsidRPr="0016704B" w:rsidRDefault="00C35ED1" w:rsidP="0016704B">
    <w:pPr>
      <w:pStyle w:val="Footer"/>
    </w:pPr>
    <w:r>
      <w:t>Additional legal content, if needed, is Wells Fargo Sans Condensed 8pt.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FDBA6" w14:textId="77777777" w:rsidR="00AE37E2" w:rsidRDefault="00AE37E2" w:rsidP="004B2586">
      <w:pPr>
        <w:spacing w:line="240" w:lineRule="auto"/>
      </w:pPr>
      <w:r>
        <w:separator/>
      </w:r>
    </w:p>
  </w:footnote>
  <w:footnote w:type="continuationSeparator" w:id="0">
    <w:p w14:paraId="50793D45" w14:textId="77777777" w:rsidR="00AE37E2" w:rsidRDefault="00AE37E2" w:rsidP="004B25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9D710" w14:textId="77777777" w:rsidR="004B2586" w:rsidRDefault="00C57ECB" w:rsidP="00C57ECB">
    <w:pPr>
      <w:pStyle w:val="Header"/>
    </w:pPr>
    <w:r>
      <w:fldChar w:fldCharType="begin"/>
    </w:r>
    <w:r>
      <w:instrText xml:space="preserve"> PAGE </w:instrText>
    </w:r>
    <w:r>
      <w:fldChar w:fldCharType="separate"/>
    </w:r>
    <w:r>
      <w:rPr>
        <w:noProof/>
      </w:rPr>
      <w:t>2</w:t>
    </w:r>
    <w:r>
      <w:fldChar w:fldCharType="end"/>
    </w:r>
    <w:r>
      <w:t xml:space="preserve"> / </w:t>
    </w:r>
    <w:r w:rsidR="0097093C">
      <w:rPr>
        <w:noProof/>
      </w:rPr>
      <w:fldChar w:fldCharType="begin"/>
    </w:r>
    <w:r w:rsidR="0097093C">
      <w:rPr>
        <w:noProof/>
      </w:rPr>
      <w:instrText xml:space="preserve"> NUMPAGES </w:instrText>
    </w:r>
    <w:r w:rsidR="0097093C">
      <w:rPr>
        <w:noProof/>
      </w:rPr>
      <w:fldChar w:fldCharType="separate"/>
    </w:r>
    <w:r>
      <w:rPr>
        <w:noProof/>
      </w:rPr>
      <w:t>2</w:t>
    </w:r>
    <w:r w:rsidR="0097093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63BAC" w14:textId="77777777" w:rsidR="00DA7C6B" w:rsidRDefault="00656735" w:rsidP="00AA5ECE">
    <w:pPr>
      <w:pStyle w:val="Header"/>
    </w:pPr>
    <w:r>
      <w:rPr>
        <w:noProof/>
      </w:rPr>
      <mc:AlternateContent>
        <mc:Choice Requires="wps">
          <w:drawing>
            <wp:anchor distT="0" distB="0" distL="0" distR="0" simplePos="0" relativeHeight="251658239" behindDoc="1" locked="0" layoutInCell="1" allowOverlap="1" wp14:anchorId="764CE77E" wp14:editId="7F59B153">
              <wp:simplePos x="0" y="0"/>
              <wp:positionH relativeFrom="page">
                <wp:posOffset>0</wp:posOffset>
              </wp:positionH>
              <wp:positionV relativeFrom="page">
                <wp:posOffset>1261745</wp:posOffset>
              </wp:positionV>
              <wp:extent cx="7772400" cy="475488"/>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7772400" cy="475488"/>
                      </a:xfrm>
                      <a:prstGeom prst="rect">
                        <a:avLst/>
                      </a:prstGeom>
                      <a:noFill/>
                      <a:ln>
                        <a:no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08F17" id="Rectangle 1" o:spid="_x0000_s1026" style="position:absolute;margin-left:0;margin-top:99.35pt;width:612pt;height:37.4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" filled="f" stroked="f">
              <w10:wrap type="square" anchorx="page" anchory="page"/>
            </v:rect>
          </w:pict>
        </mc:Fallback>
      </mc:AlternateContent>
    </w:r>
    <w:r w:rsidR="00AA5ECE">
      <w:rPr>
        <w:noProof/>
      </w:rPr>
      <mc:AlternateContent>
        <mc:Choice Requires="wps">
          <w:drawing>
            <wp:anchor distT="0" distB="0" distL="114300" distR="114300" simplePos="0" relativeHeight="251660288" behindDoc="0" locked="0" layoutInCell="1" allowOverlap="1" wp14:anchorId="2EF4B45D" wp14:editId="7CB82D52">
              <wp:simplePos x="0" y="0"/>
              <wp:positionH relativeFrom="page">
                <wp:posOffset>685800</wp:posOffset>
              </wp:positionH>
              <wp:positionV relativeFrom="page">
                <wp:posOffset>1600200</wp:posOffset>
              </wp:positionV>
              <wp:extent cx="1828800" cy="0"/>
              <wp:effectExtent l="0" t="12700" r="12700" b="12700"/>
              <wp:wrapNone/>
              <wp:docPr id="8" name="Straight Connector 8"/>
              <wp:cNvGraphicFramePr/>
              <a:graphic xmlns:a="http://schemas.openxmlformats.org/drawingml/2006/main">
                <a:graphicData uri="http://schemas.microsoft.com/office/word/2010/wordprocessingShape">
                  <wps:wsp>
                    <wps:cNvCnPr/>
                    <wps:spPr>
                      <a:xfrm>
                        <a:off x="0" y="0"/>
                        <a:ext cx="1828800" cy="0"/>
                      </a:xfrm>
                      <a:prstGeom prst="line">
                        <a:avLst/>
                      </a:prstGeom>
                      <a:ln w="28575" cap="flat">
                        <a:solidFill>
                          <a:srgbClr val="FFCD41"/>
                        </a:solidFill>
                      </a:ln>
                    </wps:spPr>
                    <wps:style>
                      <a:lnRef idx="1">
                        <a:srgbClr val="787070"/>
                      </a:lnRef>
                      <a:fillRef idx="0">
                        <a:schemeClr val="accent1"/>
                      </a:fillRef>
                      <a:effectRef idx="0">
                        <a:schemeClr val="dk1"/>
                      </a:effectRef>
                      <a:fontRef idx="minor">
                        <a:schemeClr val="lt1"/>
                      </a:fontRef>
                    </wps:style>
                    <wps:bodyPr/>
                  </wps:wsp>
                </a:graphicData>
              </a:graphic>
              <wp14:sizeRelH relativeFrom="margin">
                <wp14:pctWidth>0</wp14:pctWidth>
              </wp14:sizeRelH>
            </wp:anchor>
          </w:drawing>
        </mc:Choice>
        <mc:Fallback>
          <w:pict>
            <v:line w14:anchorId="457EA27C" id="Straight Connector 8"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" strokecolor="#ffcd41" strokeweight="2.25pt">
              <w10:wrap anchorx="page" anchory="page"/>
            </v:line>
          </w:pict>
        </mc:Fallback>
      </mc:AlternateContent>
    </w:r>
    <w:r w:rsidR="00FF469E" w:rsidRPr="00355050">
      <w:rPr>
        <w:noProof/>
      </w:rPr>
      <w:drawing>
        <wp:anchor distT="0" distB="0" distL="0" distR="0" simplePos="0" relativeHeight="251659264" behindDoc="0" locked="0" layoutInCell="1" allowOverlap="1" wp14:anchorId="40AFA550" wp14:editId="2D65D816">
          <wp:simplePos x="0" y="0"/>
          <wp:positionH relativeFrom="page">
            <wp:posOffset>685800</wp:posOffset>
          </wp:positionH>
          <wp:positionV relativeFrom="page">
            <wp:posOffset>685800</wp:posOffset>
          </wp:positionV>
          <wp:extent cx="576072" cy="576072"/>
          <wp:effectExtent l="0" t="0" r="0" b="0"/>
          <wp:wrapNone/>
          <wp:docPr id="7" name="Wells Fargo" descr="Wells Fargo">
            <a:extLst xmlns:a="http://schemas.openxmlformats.org/drawingml/2006/main">
              <a:ext uri="{FF2B5EF4-FFF2-40B4-BE49-F238E27FC236}">
                <a16:creationId xmlns:a16="http://schemas.microsoft.com/office/drawing/2014/main" id="{967B39BB-CE83-594E-A5D5-2233EAE080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lls Fargo">
                    <a:extLst>
                      <a:ext uri="{FF2B5EF4-FFF2-40B4-BE49-F238E27FC236}">
                        <a16:creationId xmlns:a16="http://schemas.microsoft.com/office/drawing/2014/main" id="{967B39BB-CE83-594E-A5D5-2233EAE08016}"/>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A02B24"/>
    <w:multiLevelType w:val="multilevel"/>
    <w:tmpl w:val="CC824724"/>
    <w:lvl w:ilvl="0">
      <w:start w:val="1"/>
      <w:numFmt w:val="bullet"/>
      <w:pStyle w:val="Bullets"/>
      <w:lvlText w:val="•"/>
      <w:lvlJc w:val="left"/>
      <w:pPr>
        <w:ind w:left="216" w:hanging="216"/>
      </w:pPr>
      <w:rPr>
        <w:rFonts w:ascii="Wells Fargo Sans" w:hAnsi="Wells Fargo Sans" w:cs="Wells Fargo Sans" w:hint="default"/>
      </w:rPr>
    </w:lvl>
    <w:lvl w:ilvl="1">
      <w:start w:val="1"/>
      <w:numFmt w:val="bullet"/>
      <w:lvlText w:val="–"/>
      <w:lvlJc w:val="left"/>
      <w:pPr>
        <w:ind w:left="432" w:hanging="216"/>
      </w:pPr>
      <w:rPr>
        <w:rFonts w:ascii="Wells Fargo Sans" w:hAnsi="Wells Fargo Sans" w:cs="Wells Fargo Sans" w:hint="default"/>
      </w:rPr>
    </w:lvl>
    <w:lvl w:ilvl="2">
      <w:start w:val="1"/>
      <w:numFmt w:val="bullet"/>
      <w:lvlText w:val="–"/>
      <w:lvlJc w:val="left"/>
      <w:pPr>
        <w:ind w:left="648" w:hanging="216"/>
      </w:pPr>
      <w:rPr>
        <w:rFonts w:ascii="Wells Fargo Sans" w:hAnsi="Wells Fargo Sans" w:cs="Wells Fargo Sans" w:hint="default"/>
      </w:rPr>
    </w:lvl>
    <w:lvl w:ilvl="3">
      <w:start w:val="1"/>
      <w:numFmt w:val="bullet"/>
      <w:lvlText w:val="–"/>
      <w:lvlJc w:val="left"/>
      <w:pPr>
        <w:ind w:left="864" w:hanging="216"/>
      </w:pPr>
      <w:rPr>
        <w:rFonts w:ascii="Wells Fargo Sans" w:hAnsi="Wells Fargo Sans" w:cs="Wells Fargo Sans" w:hint="default"/>
      </w:rPr>
    </w:lvl>
    <w:lvl w:ilvl="4">
      <w:start w:val="1"/>
      <w:numFmt w:val="bullet"/>
      <w:lvlText w:val="–"/>
      <w:lvlJc w:val="left"/>
      <w:pPr>
        <w:ind w:left="1080" w:hanging="216"/>
      </w:pPr>
      <w:rPr>
        <w:rFonts w:ascii="Wells Fargo Sans" w:hAnsi="Wells Fargo Sans" w:cs="Wells Fargo Sans" w:hint="default"/>
      </w:rPr>
    </w:lvl>
    <w:lvl w:ilvl="5">
      <w:start w:val="1"/>
      <w:numFmt w:val="bullet"/>
      <w:lvlText w:val="–"/>
      <w:lvlJc w:val="left"/>
      <w:pPr>
        <w:ind w:left="1296" w:hanging="216"/>
      </w:pPr>
      <w:rPr>
        <w:rFonts w:ascii="Wells Fargo Sans" w:hAnsi="Wells Fargo Sans" w:cs="Wells Fargo Sans" w:hint="default"/>
      </w:rPr>
    </w:lvl>
    <w:lvl w:ilvl="6">
      <w:start w:val="1"/>
      <w:numFmt w:val="bullet"/>
      <w:lvlText w:val="–"/>
      <w:lvlJc w:val="left"/>
      <w:pPr>
        <w:ind w:left="1512" w:hanging="216"/>
      </w:pPr>
      <w:rPr>
        <w:rFonts w:ascii="Wells Fargo Sans" w:hAnsi="Wells Fargo Sans" w:cs="Wells Fargo Sans" w:hint="default"/>
      </w:rPr>
    </w:lvl>
    <w:lvl w:ilvl="7">
      <w:start w:val="1"/>
      <w:numFmt w:val="bullet"/>
      <w:lvlText w:val="–"/>
      <w:lvlJc w:val="left"/>
      <w:pPr>
        <w:ind w:left="1728" w:hanging="216"/>
      </w:pPr>
      <w:rPr>
        <w:rFonts w:ascii="Wells Fargo Sans" w:hAnsi="Wells Fargo Sans" w:cs="Wells Fargo Sans" w:hint="default"/>
      </w:rPr>
    </w:lvl>
    <w:lvl w:ilvl="8">
      <w:start w:val="1"/>
      <w:numFmt w:val="bullet"/>
      <w:lvlText w:val="–"/>
      <w:lvlJc w:val="left"/>
      <w:pPr>
        <w:ind w:left="1944" w:hanging="216"/>
      </w:pPr>
      <w:rPr>
        <w:rFonts w:ascii="Wells Fargo Sans" w:hAnsi="Wells Fargo Sans" w:cs="Times New Roman" w:hint="default"/>
      </w:rPr>
    </w:lvl>
  </w:abstractNum>
  <w:num w:numId="1" w16cid:durableId="1377314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859"/>
    <w:rsid w:val="00004F65"/>
    <w:rsid w:val="000063CA"/>
    <w:rsid w:val="0002418D"/>
    <w:rsid w:val="0006779E"/>
    <w:rsid w:val="00094453"/>
    <w:rsid w:val="00095BFE"/>
    <w:rsid w:val="000A684C"/>
    <w:rsid w:val="000B0560"/>
    <w:rsid w:val="000D6ABD"/>
    <w:rsid w:val="00117F59"/>
    <w:rsid w:val="00125348"/>
    <w:rsid w:val="00127A09"/>
    <w:rsid w:val="00131CF1"/>
    <w:rsid w:val="00153747"/>
    <w:rsid w:val="00162956"/>
    <w:rsid w:val="0016704B"/>
    <w:rsid w:val="00172325"/>
    <w:rsid w:val="001A0696"/>
    <w:rsid w:val="001B2123"/>
    <w:rsid w:val="001B2766"/>
    <w:rsid w:val="001F0F12"/>
    <w:rsid w:val="00236042"/>
    <w:rsid w:val="0031516B"/>
    <w:rsid w:val="00341E30"/>
    <w:rsid w:val="003530C1"/>
    <w:rsid w:val="00355050"/>
    <w:rsid w:val="0035547C"/>
    <w:rsid w:val="00361085"/>
    <w:rsid w:val="00365E93"/>
    <w:rsid w:val="003A2671"/>
    <w:rsid w:val="003A39E5"/>
    <w:rsid w:val="003B0476"/>
    <w:rsid w:val="00433530"/>
    <w:rsid w:val="004445AD"/>
    <w:rsid w:val="004719E5"/>
    <w:rsid w:val="00475859"/>
    <w:rsid w:val="00476C8E"/>
    <w:rsid w:val="00497B0C"/>
    <w:rsid w:val="004A003B"/>
    <w:rsid w:val="004A2197"/>
    <w:rsid w:val="004B2586"/>
    <w:rsid w:val="004C55BA"/>
    <w:rsid w:val="004C7859"/>
    <w:rsid w:val="004E2E5D"/>
    <w:rsid w:val="004E682C"/>
    <w:rsid w:val="005144FE"/>
    <w:rsid w:val="0054548E"/>
    <w:rsid w:val="005664A4"/>
    <w:rsid w:val="00590DD1"/>
    <w:rsid w:val="005C3E10"/>
    <w:rsid w:val="00630294"/>
    <w:rsid w:val="00644430"/>
    <w:rsid w:val="00646BAF"/>
    <w:rsid w:val="00656735"/>
    <w:rsid w:val="00664ED3"/>
    <w:rsid w:val="00681B52"/>
    <w:rsid w:val="006870F8"/>
    <w:rsid w:val="006929B4"/>
    <w:rsid w:val="006A2FE2"/>
    <w:rsid w:val="006B123E"/>
    <w:rsid w:val="006C5BC0"/>
    <w:rsid w:val="006D083C"/>
    <w:rsid w:val="006E73E0"/>
    <w:rsid w:val="006F68A5"/>
    <w:rsid w:val="00724284"/>
    <w:rsid w:val="0073516D"/>
    <w:rsid w:val="007926A6"/>
    <w:rsid w:val="007A016D"/>
    <w:rsid w:val="007A55F5"/>
    <w:rsid w:val="007F34A4"/>
    <w:rsid w:val="0086127D"/>
    <w:rsid w:val="008B42EF"/>
    <w:rsid w:val="008C6A47"/>
    <w:rsid w:val="008D10B1"/>
    <w:rsid w:val="008F3391"/>
    <w:rsid w:val="008F5F3E"/>
    <w:rsid w:val="00907D1B"/>
    <w:rsid w:val="009267DF"/>
    <w:rsid w:val="00926A2A"/>
    <w:rsid w:val="009278C5"/>
    <w:rsid w:val="0093383F"/>
    <w:rsid w:val="009512BB"/>
    <w:rsid w:val="009534F5"/>
    <w:rsid w:val="0097093C"/>
    <w:rsid w:val="009949E9"/>
    <w:rsid w:val="009C28ED"/>
    <w:rsid w:val="00A31679"/>
    <w:rsid w:val="00A32867"/>
    <w:rsid w:val="00A33835"/>
    <w:rsid w:val="00A97538"/>
    <w:rsid w:val="00AA5ECE"/>
    <w:rsid w:val="00AD40EC"/>
    <w:rsid w:val="00AD4F02"/>
    <w:rsid w:val="00AE37E2"/>
    <w:rsid w:val="00B074D4"/>
    <w:rsid w:val="00B166C7"/>
    <w:rsid w:val="00B22633"/>
    <w:rsid w:val="00B421A9"/>
    <w:rsid w:val="00B644C5"/>
    <w:rsid w:val="00B72EB5"/>
    <w:rsid w:val="00B80210"/>
    <w:rsid w:val="00B81C24"/>
    <w:rsid w:val="00B860E5"/>
    <w:rsid w:val="00BC08D4"/>
    <w:rsid w:val="00BC2AC0"/>
    <w:rsid w:val="00BE1865"/>
    <w:rsid w:val="00BF0763"/>
    <w:rsid w:val="00C32E93"/>
    <w:rsid w:val="00C35ED1"/>
    <w:rsid w:val="00C57ECB"/>
    <w:rsid w:val="00CD3CBB"/>
    <w:rsid w:val="00D333FB"/>
    <w:rsid w:val="00D37677"/>
    <w:rsid w:val="00D37D6E"/>
    <w:rsid w:val="00D659E6"/>
    <w:rsid w:val="00D7257A"/>
    <w:rsid w:val="00D740E0"/>
    <w:rsid w:val="00D85966"/>
    <w:rsid w:val="00DA1551"/>
    <w:rsid w:val="00DA2936"/>
    <w:rsid w:val="00DA7C6B"/>
    <w:rsid w:val="00DD0175"/>
    <w:rsid w:val="00E04FBF"/>
    <w:rsid w:val="00E16E5D"/>
    <w:rsid w:val="00E17513"/>
    <w:rsid w:val="00E17D98"/>
    <w:rsid w:val="00E93730"/>
    <w:rsid w:val="00EB2D36"/>
    <w:rsid w:val="00ED51FA"/>
    <w:rsid w:val="00EF68AC"/>
    <w:rsid w:val="00F073D0"/>
    <w:rsid w:val="00F270C7"/>
    <w:rsid w:val="00F76BCE"/>
    <w:rsid w:val="00F83EA8"/>
    <w:rsid w:val="00F85773"/>
    <w:rsid w:val="00FD76B2"/>
    <w:rsid w:val="00FE7727"/>
    <w:rsid w:val="00FF20AC"/>
    <w:rsid w:val="00FF46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45F2B"/>
  <w15:chartTrackingRefBased/>
  <w15:docId w15:val="{D72BE801-B0F8-4BFE-A2C6-B84E4481D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83EA8"/>
    <w:pPr>
      <w:spacing w:line="240" w:lineRule="atLeast"/>
    </w:pPr>
    <w:rPr>
      <w:rFonts w:cs="Times New Roman (Body 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5773"/>
    <w:pPr>
      <w:ind w:left="-3312"/>
    </w:pPr>
  </w:style>
  <w:style w:type="character" w:customStyle="1" w:styleId="HeaderChar">
    <w:name w:val="Header Char"/>
    <w:basedOn w:val="DefaultParagraphFont"/>
    <w:link w:val="Header"/>
    <w:uiPriority w:val="99"/>
    <w:rsid w:val="00F85773"/>
    <w:rPr>
      <w:rFonts w:cs="Times New Roman (Body CS)"/>
      <w:sz w:val="20"/>
    </w:rPr>
  </w:style>
  <w:style w:type="paragraph" w:styleId="Footer">
    <w:name w:val="footer"/>
    <w:basedOn w:val="Normal"/>
    <w:link w:val="FooterChar"/>
    <w:uiPriority w:val="99"/>
    <w:unhideWhenUsed/>
    <w:rsid w:val="00F85773"/>
    <w:pPr>
      <w:spacing w:line="200" w:lineRule="atLeast"/>
      <w:ind w:left="-3312"/>
    </w:pPr>
    <w:rPr>
      <w:rFonts w:ascii="Wells Fargo Sans Condensed" w:hAnsi="Wells Fargo Sans Condensed"/>
      <w:sz w:val="16"/>
    </w:rPr>
  </w:style>
  <w:style w:type="character" w:customStyle="1" w:styleId="FooterChar">
    <w:name w:val="Footer Char"/>
    <w:basedOn w:val="DefaultParagraphFont"/>
    <w:link w:val="Footer"/>
    <w:uiPriority w:val="99"/>
    <w:rsid w:val="00F85773"/>
    <w:rPr>
      <w:rFonts w:ascii="Wells Fargo Sans Condensed" w:hAnsi="Wells Fargo Sans Condensed" w:cs="Times New Roman (Body CS)"/>
      <w:sz w:val="16"/>
    </w:rPr>
  </w:style>
  <w:style w:type="character" w:styleId="Hyperlink">
    <w:name w:val="Hyperlink"/>
    <w:basedOn w:val="DefaultParagraphFont"/>
    <w:uiPriority w:val="99"/>
    <w:unhideWhenUsed/>
    <w:rsid w:val="00ED51FA"/>
    <w:rPr>
      <w:color w:val="auto"/>
      <w:u w:val="none"/>
    </w:rPr>
  </w:style>
  <w:style w:type="character" w:styleId="FollowedHyperlink">
    <w:name w:val="FollowedHyperlink"/>
    <w:basedOn w:val="DefaultParagraphFont"/>
    <w:uiPriority w:val="99"/>
    <w:semiHidden/>
    <w:unhideWhenUsed/>
    <w:rsid w:val="00ED51FA"/>
    <w:rPr>
      <w:color w:val="auto"/>
      <w:u w:val="none"/>
    </w:rPr>
  </w:style>
  <w:style w:type="table" w:styleId="TableGrid">
    <w:name w:val="Table Grid"/>
    <w:basedOn w:val="TableNormal"/>
    <w:uiPriority w:val="39"/>
    <w:rsid w:val="00236042"/>
    <w:tblPr>
      <w:tblBorders>
        <w:top w:val="single" w:sz="4" w:space="0" w:color="auto"/>
        <w:bottom w:val="single" w:sz="4" w:space="0" w:color="auto"/>
        <w:insideH w:val="single" w:sz="4" w:space="0" w:color="auto"/>
      </w:tblBorders>
      <w:tblCellMar>
        <w:top w:w="72" w:type="dxa"/>
        <w:left w:w="0" w:type="dxa"/>
        <w:bottom w:w="72" w:type="dxa"/>
        <w:right w:w="0" w:type="dxa"/>
      </w:tblCellMar>
    </w:tblPr>
  </w:style>
  <w:style w:type="paragraph" w:styleId="ListParagraph">
    <w:name w:val="List Paragraph"/>
    <w:basedOn w:val="Normal"/>
    <w:uiPriority w:val="34"/>
    <w:rsid w:val="00D85966"/>
    <w:pPr>
      <w:ind w:left="720"/>
      <w:contextualSpacing/>
    </w:pPr>
  </w:style>
  <w:style w:type="paragraph" w:customStyle="1" w:styleId="Bullets">
    <w:name w:val="Bullets"/>
    <w:basedOn w:val="ListParagraph"/>
    <w:uiPriority w:val="9"/>
    <w:qFormat/>
    <w:rsid w:val="00E16E5D"/>
    <w:pPr>
      <w:numPr>
        <w:numId w:val="1"/>
      </w:numPr>
    </w:pPr>
  </w:style>
  <w:style w:type="paragraph" w:customStyle="1" w:styleId="ExecutiveName">
    <w:name w:val="Executive Name"/>
    <w:uiPriority w:val="9"/>
    <w:qFormat/>
    <w:rsid w:val="00341E30"/>
    <w:pPr>
      <w:spacing w:line="360" w:lineRule="exact"/>
    </w:pPr>
    <w:rPr>
      <w:rFonts w:ascii="Wells Fargo Sans Light" w:hAnsi="Wells Fargo Sans Light" w:cs="Times New Roman (Body 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Wells Fargo 2019">
  <a:themeElements>
    <a:clrScheme name="Wells Fargo 2019 Colors">
      <a:dk1>
        <a:srgbClr val="000000"/>
      </a:dk1>
      <a:lt1>
        <a:srgbClr val="FFFFFF"/>
      </a:lt1>
      <a:dk2>
        <a:srgbClr val="D71E28"/>
      </a:dk2>
      <a:lt2>
        <a:srgbClr val="F4F0ED"/>
      </a:lt2>
      <a:accent1>
        <a:srgbClr val="EB691E"/>
      </a:accent1>
      <a:accent2>
        <a:srgbClr val="D73F26"/>
      </a:accent2>
      <a:accent3>
        <a:srgbClr val="C83255"/>
      </a:accent3>
      <a:accent4>
        <a:srgbClr val="AA1E87"/>
      </a:accent4>
      <a:accent5>
        <a:srgbClr val="823291"/>
      </a:accent5>
      <a:accent6>
        <a:srgbClr val="5A469B"/>
      </a:accent6>
      <a:hlink>
        <a:srgbClr val="5A469B"/>
      </a:hlink>
      <a:folHlink>
        <a:srgbClr val="5A469B"/>
      </a:folHlink>
    </a:clrScheme>
    <a:fontScheme name="Wells Fargo 2019 Fonts">
      <a:majorFont>
        <a:latin typeface="Wells Fargo Sans" panose="020B0503020203020204" pitchFamily="34" charset="0"/>
        <a:ea typeface=""/>
        <a:cs typeface=""/>
      </a:majorFont>
      <a:minorFont>
        <a:latin typeface="Wells Fargo Sans" panose="020B0503020203020204" pitchFamily="34" charset="0"/>
        <a:ea typeface=""/>
        <a:cs typeface=""/>
      </a:minorFont>
    </a:fontScheme>
    <a:fmtScheme name="Wells Fargo 2019 Effects">
      <a:fillStyleLst>
        <a:solidFill>
          <a:schemeClr val="phClr"/>
        </a:solidFill>
        <a:solidFill>
          <a:schemeClr val="phClr"/>
        </a:solidFill>
        <a:solidFill>
          <a:schemeClr val="phClr"/>
        </a:solidFill>
      </a:fillStyleLst>
      <a:lnStyleLst>
        <a:ln w="12700" cap="sq" cmpd="sng" algn="ctr">
          <a:solidFill>
            <a:schemeClr val="phClr"/>
          </a:solidFill>
          <a:prstDash val="solid"/>
        </a:ln>
        <a:ln w="12700" cap="sq" cmpd="sng" algn="ctr">
          <a:solidFill>
            <a:schemeClr val="phClr"/>
          </a:solidFill>
          <a:prstDash val="solid"/>
        </a:ln>
        <a:ln w="12700" cap="sq" cmpd="sng" algn="ctr">
          <a:solidFill>
            <a:schemeClr val="phClr"/>
          </a:solidFill>
          <a:prstDash val="solid"/>
        </a:ln>
      </a:lnStyleLst>
      <a:effectStyleLst>
        <a:effectStyle>
          <a:effectLst/>
        </a:effectStyle>
        <a:effectStyle>
          <a:effectLst/>
        </a:effectStyle>
        <a:effectStyle>
          <a:effectLst>
            <a:outerShdw blurRad="127000" dist="63500" dir="2700000" algn="br" rotWithShape="0">
              <a:srgbClr val="000000">
                <a:alpha val="25000"/>
              </a:srgbClr>
            </a:outerShdw>
          </a:effectLst>
        </a:effectStyle>
      </a:effectStyleLst>
      <a:bgFillStyleLst>
        <a:solidFill>
          <a:schemeClr val="phClr"/>
        </a:solidFill>
        <a:solidFill>
          <a:schemeClr val="phClr"/>
        </a:solidFill>
        <a:solidFill>
          <a:schemeClr val="phClr"/>
        </a:solidFill>
      </a:bgFillStyleLst>
    </a:fmtScheme>
  </a:themeElements>
  <a:objectDefaults>
    <a:spDef>
      <a:spPr>
        <a:ln>
          <a:noFill/>
        </a:ln>
      </a:spPr>
      <a:bodyPr/>
      <a:lstStyle>
        <a:defPPr algn="ctr">
          <a:lnSpc>
            <a:spcPct val="100000"/>
          </a:lnSpc>
          <a:defRPr sz="1800"/>
        </a:defPPr>
      </a:lstStyle>
      <a:style>
        <a:lnRef idx="0">
          <a:srgbClr val="787070"/>
        </a:lnRef>
        <a:fillRef idx="1">
          <a:schemeClr val="accent1"/>
        </a:fillRef>
        <a:effectRef idx="0">
          <a:schemeClr val="dk1"/>
        </a:effectRef>
        <a:fontRef idx="minor">
          <a:schemeClr val="lt1"/>
        </a:fontRef>
      </a:style>
    </a:spDef>
    <a:lnDef>
      <a:spPr>
        <a:ln w="12700" cap="sq"/>
      </a:spPr>
      <a:bodyPr/>
      <a:lstStyle/>
      <a:style>
        <a:lnRef idx="1">
          <a:srgbClr val="787070"/>
        </a:lnRef>
        <a:fillRef idx="0">
          <a:schemeClr val="accent1"/>
        </a:fillRef>
        <a:effectRef idx="0">
          <a:schemeClr val="dk1"/>
        </a:effectRef>
        <a:fontRef idx="minor">
          <a:schemeClr val="lt1"/>
        </a:fontRef>
      </a:style>
    </a:lnDef>
  </a:objectDefaults>
  <a:extraClrSchemeLst/>
  <a:custClrLst>
    <a:custClr name="WF Red">
      <a:srgbClr val="D71E28"/>
    </a:custClr>
    <a:custClr name="WF Yellow">
      <a:srgbClr val="FFCD41"/>
    </a:custClr>
    <a:custClr name="WF Yellow Tint 1">
      <a:srgbClr val="FFDC78"/>
    </a:custClr>
    <a:custClr name="WF Yellow Tint 2">
      <a:srgbClr val="FFE6A0"/>
    </a:custClr>
    <a:custClr name="WF Yellow Tint 3">
      <a:srgbClr val="FFF0C8"/>
    </a:custClr>
    <a:custClr name="WF Yellow Tint 4">
      <a:srgbClr val="FFF7E2"/>
    </a:custClr>
    <a:custClr name="WF Gray 1">
      <a:srgbClr val="3B3331"/>
    </a:custClr>
    <a:custClr name="WF Gray 2">
      <a:srgbClr val="787070"/>
    </a:custClr>
    <a:custClr name="WF Gray 3">
      <a:srgbClr val="B5ADAD"/>
    </a:custClr>
    <a:custClr name="WF Gray 4">
      <a:srgbClr val="F4F0ED"/>
    </a:custClr>
    <a:custClr name="WF Orange Dark 2">
      <a:srgbClr val="873100"/>
    </a:custClr>
    <a:custClr name="WF Orange Dark 1">
      <a:srgbClr val="A93E00"/>
    </a:custClr>
    <a:custClr name="WF Orange">
      <a:srgbClr val="EB691E"/>
    </a:custClr>
    <a:custClr name="WF Orange Light 1">
      <a:srgbClr val="FF9657"/>
    </a:custClr>
    <a:custClr name="WF Orange Light 1">
      <a:srgbClr val="FFC5A3"/>
    </a:custClr>
    <a:custClr name="WF Coral Dark 2">
      <a:srgbClr val="87190A"/>
    </a:custClr>
    <a:custClr name="WF Coral Dark 1">
      <a:srgbClr val="B42D19"/>
    </a:custClr>
    <a:custClr name="WF Coral">
      <a:srgbClr val="D73F26"/>
    </a:custClr>
    <a:custClr name="WF Coral Light 1">
      <a:srgbClr val="FF755E"/>
    </a:custClr>
    <a:custClr name="WF Coral Light 1">
      <a:srgbClr val="FFB1A6"/>
    </a:custClr>
    <a:custClr name="WF Pink Dark 2">
      <a:srgbClr val="6E142D"/>
    </a:custClr>
    <a:custClr name="WF Pink Dark 1">
      <a:srgbClr val="9B2341"/>
    </a:custClr>
    <a:custClr name="WF Pink">
      <a:srgbClr val="C83255"/>
    </a:custClr>
    <a:custClr name="WF Pink Light 1">
      <a:srgbClr val="F26D91"/>
    </a:custClr>
    <a:custClr name="WF Pink Light 1">
      <a:srgbClr val="FFA6BE"/>
    </a:custClr>
    <a:custClr name="WF Purple Dark 2">
      <a:srgbClr val="640A4B"/>
    </a:custClr>
    <a:custClr name="WF Purple Dark 1">
      <a:srgbClr val="871469"/>
    </a:custClr>
    <a:custClr name="WF Purple">
      <a:srgbClr val="AA1E87"/>
    </a:custClr>
    <a:custClr name="WF Purple Light 1">
      <a:srgbClr val="D169B8"/>
    </a:custClr>
    <a:custClr name="WF Purple Light 1">
      <a:srgbClr val="F2A5DC"/>
    </a:custClr>
    <a:custClr name="WF Violet Dark 2">
      <a:srgbClr val="5A1E64"/>
    </a:custClr>
    <a:custClr name="WF Violet Dark 1">
      <a:srgbClr val="64287D"/>
    </a:custClr>
    <a:custClr name="WF Violet">
      <a:srgbClr val="823291"/>
    </a:custClr>
    <a:custClr name="WF Violet Light 1">
      <a:srgbClr val="BB70CC"/>
    </a:custClr>
    <a:custClr name="WF Violet Light 1">
      <a:srgbClr val="E5A2F2"/>
    </a:custClr>
    <a:custClr name="WF Indigo Dark 2">
      <a:srgbClr val="352B6B"/>
    </a:custClr>
    <a:custClr name="WF Indigo Dark 1">
      <a:srgbClr val="463782"/>
    </a:custClr>
    <a:custClr name="WF Indigo">
      <a:srgbClr val="5A469B"/>
    </a:custClr>
    <a:custClr name="WF Indigo Light 1">
      <a:srgbClr val="9A89D9"/>
    </a:custClr>
    <a:custClr name="WF Indigo Light 1">
      <a:srgbClr val="BFB3F2"/>
    </a:custClr>
  </a:custClr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167</Words>
  <Characters>957</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Wells Fargo</vt:lpstr>
    </vt:vector>
  </TitlesOfParts>
  <Manager/>
  <Company>Wells Fargo</Company>
  <LinksUpToDate>false</LinksUpToDate>
  <CharactersWithSpaces>1122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Wells Fargo</dc:title>
  <dc:subject/>
  <dc:creator>Stupi, Nina</dc:creator>
  <cp:keywords/>
  <dc:description/>
  <cp:lastModifiedBy>Eileen Fitzgerald</cp:lastModifiedBy>
  <cp:revision>2</cp:revision>
  <cp:lastPrinted>2018-12-01T00:28:00Z</cp:lastPrinted>
  <dcterms:created xsi:type="dcterms:W3CDTF">2024-02-08T23:22:00Z</dcterms:created>
  <dcterms:modified xsi:type="dcterms:W3CDTF">2024-02-08T23:22:00Z</dcterms:modified>
  <cp:category/>
</cp:coreProperties>
</file>